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fill="FFFFFF" w:val="clear"/>
        <w:spacing w:before="100" w:after="100"/>
        <w:jc w:val="center"/>
        <w:rPr>
          <w:sz w:val="18"/>
          <w:szCs w:val="18"/>
        </w:rPr>
      </w:pPr>
      <w:r>
        <w:rPr>
          <w:sz w:val="28"/>
          <w:szCs w:val="28"/>
          <w:lang w:val="en-US"/>
        </w:rPr>
        <w:t>Transmarcations / A. Antonopoulos</w:t>
      </w:r>
    </w:p>
    <w:p>
      <w:pPr>
        <w:pStyle w:val="NormalWeb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jc w:val="center"/>
        <w:rPr>
          <w:sz w:val="18"/>
          <w:szCs w:val="18"/>
        </w:rPr>
      </w:pPr>
      <w:r>
        <w:rPr>
          <w:sz w:val="28"/>
          <w:szCs w:val="28"/>
          <w:lang w:val="en-US"/>
        </w:rPr>
        <w:t>Suggested Reading</w:t>
      </w:r>
    </w:p>
    <w:p>
      <w:pPr>
        <w:pStyle w:val="NormalWe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hd w:fill="FFFFFF" w:val="clear"/>
        <w:bidi w:val="0"/>
        <w:ind w:left="0" w:right="0" w:hanging="0"/>
        <w:jc w:val="left"/>
        <w:rPr>
          <w:rFonts w:ascii="Helvetica" w:hAnsi="Helvetica" w:eastAsia="Helvetica" w:cs="Helvetica"/>
          <w:color w:val="0079FF"/>
          <w:sz w:val="28"/>
          <w:szCs w:val="28"/>
          <w:u w:val="single" w:color="0079FF"/>
        </w:rPr>
      </w:pPr>
      <w:r>
        <w:rPr>
          <w:rFonts w:eastAsia="Helvetica" w:cs="Helvetica" w:ascii="Helvetica" w:hAnsi="Helvetica"/>
          <w:color w:val="0079FF"/>
          <w:sz w:val="28"/>
          <w:szCs w:val="28"/>
          <w:u w:val="single" w:color="0079FF"/>
        </w:rPr>
      </w:r>
    </w:p>
    <w:p>
      <w:pPr>
        <w:pStyle w:val="WordDefaultStyle"/>
        <w:shd w:fill="FFFFFF" w:val="clear"/>
        <w:rPr>
          <w:sz w:val="18"/>
          <w:szCs w:val="18"/>
        </w:rPr>
      </w:pPr>
      <w:r>
        <w:rPr>
          <w:sz w:val="28"/>
          <w:szCs w:val="28"/>
          <w:lang w:val="en-US"/>
        </w:rPr>
        <w:t>Barad, K. (2003). Posthumanist performativity: Toward an understanding of how matter comes to matter.</w:t>
      </w:r>
      <w:r>
        <w:rPr>
          <w:i/>
          <w:iCs/>
          <w:sz w:val="28"/>
          <w:szCs w:val="28"/>
        </w:rPr>
        <w:t xml:space="preserve"> Signs, 28</w:t>
      </w:r>
      <w:r>
        <w:rPr>
          <w:sz w:val="28"/>
          <w:szCs w:val="28"/>
        </w:rPr>
        <w:t xml:space="preserve">(3), 801-831. </w:t>
      </w:r>
    </w:p>
    <w:p>
      <w:pPr>
        <w:pStyle w:val="WordDefaultStyle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ordDefaultStyle"/>
        <w:shd w:fill="FFFFFF" w:val="clear"/>
        <w:rPr>
          <w:rFonts w:ascii="Verdana" w:hAnsi="Verdana" w:eastAsia="Verdana" w:cs="Verdana"/>
          <w:sz w:val="18"/>
          <w:szCs w:val="18"/>
        </w:rPr>
      </w:pPr>
      <w:r>
        <w:rPr>
          <w:sz w:val="28"/>
          <w:szCs w:val="28"/>
          <w:lang w:val="en-US"/>
        </w:rPr>
        <w:t>Butler, Judith. (1989). “Foucault and the Paradox of Bodily Inscriptions,” Journal of Philosophy 86, 11: 601-607.</w:t>
      </w:r>
    </w:p>
    <w:p>
      <w:pPr>
        <w:pStyle w:val="WordDefaultStyle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0" w:after="0"/>
        <w:rPr/>
      </w:pPr>
      <w:r>
        <w:rPr>
          <w:sz w:val="28"/>
          <w:szCs w:val="28"/>
          <w:lang w:val="en-US"/>
        </w:rPr>
        <w:t>"Climacteron Drug Information, Professional." Drugs.com, accessed Nov 7, 2017</w:t>
      </w:r>
      <w:r>
        <w:rPr>
          <w:color w:val="0000FF"/>
          <w:sz w:val="28"/>
          <w:szCs w:val="28"/>
          <w:u w:val="none" w:color="0000FF"/>
          <w:lang w:val="en-US"/>
        </w:rPr>
        <w:t>, </w:t>
      </w:r>
      <w:hyperlink r:id="rId2">
        <w:r>
          <w:rPr>
            <w:rStyle w:val="Hyperlink0"/>
            <w:sz w:val="28"/>
            <w:szCs w:val="28"/>
            <w:lang w:val="en-US"/>
          </w:rPr>
          <w:t>https://www.drugs.com/mmx/climacteron.html</w:t>
        </w:r>
      </w:hyperlink>
      <w:r>
        <w:rPr>
          <w:sz w:val="28"/>
          <w:szCs w:val="28"/>
          <w:lang w:val="en-US"/>
        </w:rPr>
        <w:t>.</w:t>
      </w:r>
    </w:p>
    <w:p>
      <w:pPr>
        <w:pStyle w:val="NormalWe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hd w:fill="FFFFFF" w:val="clear"/>
        <w:bidi w:val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Gender Revolution: The Shifting Landscape of Gender,</w:t>
      </w:r>
      <w:r>
        <w:rPr>
          <w:rFonts w:ascii="Times New Roman" w:hAnsi="Times New Roman"/>
          <w:sz w:val="28"/>
          <w:szCs w:val="28"/>
        </w:rPr>
        <w:t>” </w:t>
      </w:r>
      <w:r>
        <w:rPr>
          <w:rStyle w:val="None"/>
          <w:rFonts w:ascii="Times New Roman" w:hAnsi="Times New Roman"/>
          <w:i/>
          <w:iCs/>
          <w:sz w:val="28"/>
          <w:szCs w:val="28"/>
          <w:lang w:val="fr-FR"/>
        </w:rPr>
        <w:t>National Geographic</w:t>
      </w:r>
      <w:r>
        <w:rPr>
          <w:rFonts w:ascii="Times New Roman" w:hAnsi="Times New Roman"/>
          <w:sz w:val="28"/>
          <w:szCs w:val="28"/>
          <w:lang w:val="en-US"/>
        </w:rPr>
        <w:t xml:space="preserve">, Special Issue, January 2017, accessed Nov 7, 2017, </w:t>
      </w:r>
      <w:hyperlink r:id="rId3">
        <w:r>
          <w:rPr>
            <w:rStyle w:val="Hyperlink1"/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http://www.pdf-flip.com/examples/pubs/Magazines/Mag_16.pdf</w:t>
        </w:r>
      </w:hyperlink>
    </w:p>
    <w:p>
      <w:pPr>
        <w:pStyle w:val="NormalWe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0" w:after="0"/>
        <w:rPr/>
      </w:pPr>
      <w:r>
        <w:rPr>
          <w:sz w:val="28"/>
          <w:szCs w:val="28"/>
          <w:lang w:val="en-US"/>
        </w:rPr>
        <w:t>"Important Safety Information on the Discontinuation of Climacteron Injection (Estradiol Dienanthate, Estradiol Benzoate and Testosterone Enanthate Benzilic Acid Hydrazone)- Sandoz Canada Inc. - for Health Professionals," accessed Nov 7, 2017</w:t>
      </w:r>
      <w:r>
        <w:rPr>
          <w:rStyle w:val="None"/>
          <w:color w:val="0000FF"/>
          <w:sz w:val="28"/>
          <w:szCs w:val="28"/>
          <w:u w:val="none" w:color="0000FF"/>
          <w:lang w:val="en-US"/>
        </w:rPr>
        <w:t>, </w:t>
      </w:r>
      <w:hyperlink r:id="rId4">
        <w:r>
          <w:rPr>
            <w:rStyle w:val="Hyperlink0"/>
            <w:sz w:val="28"/>
            <w:szCs w:val="28"/>
            <w:lang w:val="en-US"/>
          </w:rPr>
          <w:t>http://healthycanadians.gc.ca/recall-alert-rappel-avis/hc-sc/2005/14314a-eng.php</w:t>
        </w:r>
      </w:hyperlink>
      <w:r>
        <w:rPr>
          <w:rStyle w:val="None"/>
          <w:color w:val="0000FF"/>
          <w:sz w:val="28"/>
          <w:szCs w:val="28"/>
          <w:u w:val="none" w:color="0000FF"/>
          <w:lang w:val="en-US"/>
        </w:rPr>
        <w:t>.</w:t>
      </w:r>
    </w:p>
    <w:p>
      <w:pPr>
        <w:pStyle w:val="NormalWe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0" w:after="0"/>
        <w:rPr/>
      </w:pPr>
      <w:r>
        <w:rPr>
          <w:sz w:val="28"/>
          <w:szCs w:val="28"/>
          <w:lang w:val="en-US"/>
        </w:rPr>
        <w:t>"Transgendered Glossary", accessed 11/7/, 2017, </w:t>
      </w:r>
      <w:hyperlink r:id="rId5">
        <w:r>
          <w:rPr>
            <w:rStyle w:val="Hyperlink0"/>
            <w:sz w:val="28"/>
            <w:szCs w:val="28"/>
            <w:lang w:val="en-US"/>
          </w:rPr>
          <w:t>http://www.tsroadmap.com/start/tgterms.html</w:t>
        </w:r>
      </w:hyperlink>
      <w:r>
        <w:rPr>
          <w:rStyle w:val="None"/>
          <w:color w:val="0000FF"/>
          <w:sz w:val="28"/>
          <w:szCs w:val="28"/>
          <w:u w:val="none" w:color="0000FF"/>
          <w:lang w:val="en-US"/>
        </w:rPr>
        <w:t>.</w:t>
      </w:r>
    </w:p>
    <w:p>
      <w:pPr>
        <w:pStyle w:val="BodyA"/>
        <w:widowControl w:val="false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A"/>
        <w:widowControl w:val="false"/>
        <w:shd w:fill="FFFFFF" w:val="clear"/>
        <w:rPr/>
      </w:pPr>
      <w:r>
        <w:rPr>
          <w:sz w:val="28"/>
          <w:szCs w:val="28"/>
          <w:lang w:val="en-US"/>
        </w:rPr>
        <w:t xml:space="preserve">Bornstein, Kate. (1998). </w:t>
      </w:r>
      <w:r>
        <w:rPr>
          <w:rStyle w:val="None"/>
          <w:i/>
          <w:iCs/>
          <w:sz w:val="28"/>
          <w:szCs w:val="28"/>
          <w:lang w:val="en-US"/>
        </w:rPr>
        <w:t>My Gender Workbook: How to become a real man, a real woman, the real you, or something else entirely</w:t>
      </w:r>
      <w:r>
        <w:rPr>
          <w:sz w:val="28"/>
          <w:szCs w:val="28"/>
          <w:lang w:val="en-US"/>
        </w:rPr>
        <w:t xml:space="preserve">. New York; Routledge. </w:t>
      </w:r>
      <w:hyperlink r:id="rId6">
        <w:r>
          <w:rPr>
            <w:rStyle w:val="Hyperlink2"/>
            <w:sz w:val="28"/>
            <w:szCs w:val="28"/>
            <w:lang w:val="en-US"/>
          </w:rPr>
          <w:t>http://www.yorku.ca/spot/caitlin/bornstein.pdf</w:t>
        </w:r>
      </w:hyperlink>
    </w:p>
    <w:p>
      <w:pPr>
        <w:pStyle w:val="BodyA"/>
        <w:widowControl w:val="false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A"/>
        <w:widowControl w:val="false"/>
        <w:shd w:fill="FFFFFF" w:val="clear"/>
        <w:rPr/>
      </w:pPr>
      <w:r>
        <w:rPr>
          <w:sz w:val="28"/>
          <w:szCs w:val="28"/>
          <w:lang w:val="en-US"/>
        </w:rPr>
        <w:t xml:space="preserve">Cameron, L. (1996). </w:t>
      </w:r>
      <w:r>
        <w:rPr>
          <w:rStyle w:val="None"/>
          <w:i/>
          <w:iCs/>
          <w:sz w:val="28"/>
          <w:szCs w:val="28"/>
          <w:lang w:val="en-US"/>
        </w:rPr>
        <w:t>Body alchemy: Transsexual portraits</w:t>
      </w:r>
      <w:r>
        <w:rPr>
          <w:sz w:val="28"/>
          <w:szCs w:val="28"/>
          <w:lang w:val="en-US"/>
        </w:rPr>
        <w:t xml:space="preserve"> (1st ed.). Pittsburgh, Pa: Cleis Press. </w:t>
      </w:r>
      <w:hyperlink r:id="rId7">
        <w:r>
          <w:rPr>
            <w:rStyle w:val="Hyperlink2"/>
            <w:sz w:val="28"/>
            <w:szCs w:val="28"/>
            <w:lang w:val="en-US"/>
          </w:rPr>
          <w:t>https://books.google.com/books/about/Body_alchemy.html?id=7aXgzfkjgaQC</w:t>
        </w:r>
      </w:hyperlink>
    </w:p>
    <w:p>
      <w:pPr>
        <w:pStyle w:val="BodyA"/>
        <w:widowControl w:val="false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ordDefaultStyleA"/>
        <w:rPr>
          <w:sz w:val="18"/>
          <w:szCs w:val="18"/>
        </w:rPr>
      </w:pPr>
      <w:r>
        <w:rPr>
          <w:sz w:val="28"/>
          <w:szCs w:val="28"/>
          <w:lang w:val="en-US"/>
        </w:rPr>
        <w:t xml:space="preserve">Chávez, K. R. (2013). </w:t>
      </w:r>
      <w:r>
        <w:rPr>
          <w:rStyle w:val="None"/>
          <w:i/>
          <w:iCs/>
          <w:sz w:val="28"/>
          <w:szCs w:val="28"/>
          <w:lang w:val="en-US"/>
        </w:rPr>
        <w:t>Queer migration politics: Activist rhetoric and coalitional possibilities</w:t>
      </w:r>
      <w:r>
        <w:rPr>
          <w:sz w:val="28"/>
          <w:szCs w:val="28"/>
          <w:lang w:val="en-US"/>
        </w:rPr>
        <w:t xml:space="preserve">. Urbana: University of Illinois Press. </w:t>
      </w:r>
    </w:p>
    <w:p>
      <w:pPr>
        <w:pStyle w:val="BodyA"/>
        <w:widowControl w:val="false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A"/>
        <w:widowControl w:val="false"/>
        <w:shd w:fill="FFFFFF" w:val="clear"/>
        <w:rPr/>
      </w:pPr>
      <w:r>
        <w:rPr>
          <w:sz w:val="28"/>
          <w:szCs w:val="28"/>
          <w:lang w:val="en-US"/>
        </w:rPr>
        <w:t xml:space="preserve">Cotten, T. T. (2012). </w:t>
      </w:r>
      <w:r>
        <w:rPr>
          <w:rStyle w:val="None"/>
          <w:i/>
          <w:iCs/>
          <w:sz w:val="28"/>
          <w:szCs w:val="28"/>
          <w:lang w:val="en-US"/>
        </w:rPr>
        <w:t>Transgender migrations: The bodies, borders, and politics of transition</w:t>
      </w:r>
      <w:r>
        <w:rPr>
          <w:sz w:val="28"/>
          <w:szCs w:val="28"/>
          <w:lang w:val="en-US"/>
        </w:rPr>
        <w:t xml:space="preserve">. New York: Routledge. </w:t>
      </w:r>
      <w:hyperlink r:id="rId8">
        <w:r>
          <w:rPr>
            <w:rStyle w:val="Hyperlink2"/>
            <w:sz w:val="28"/>
            <w:szCs w:val="28"/>
            <w:lang w:val="en-US"/>
          </w:rPr>
          <w:t>https://books.google.com/books/about/Transgender_Migrations.html?id=hGKp2QMwrvMC</w:t>
        </w:r>
      </w:hyperlink>
    </w:p>
    <w:p>
      <w:pPr>
        <w:pStyle w:val="BodyA"/>
        <w:widowControl w:val="false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ordDefaultStyleA"/>
        <w:rPr>
          <w:sz w:val="18"/>
          <w:szCs w:val="18"/>
        </w:rPr>
      </w:pPr>
      <w:r>
        <w:rPr>
          <w:sz w:val="28"/>
          <w:szCs w:val="28"/>
          <w:lang w:val="en-US"/>
        </w:rPr>
        <w:t xml:space="preserve">Kessler, S. J., &amp; McKenna, W. (1985; 1978). </w:t>
      </w:r>
      <w:r>
        <w:rPr>
          <w:rStyle w:val="None"/>
          <w:i/>
          <w:iCs/>
          <w:sz w:val="28"/>
          <w:szCs w:val="28"/>
          <w:lang w:val="en-US"/>
        </w:rPr>
        <w:t>Gender: An ethnomethodological approach</w:t>
      </w:r>
      <w:r>
        <w:rPr>
          <w:sz w:val="28"/>
          <w:szCs w:val="28"/>
          <w:lang w:val="en-US"/>
        </w:rPr>
        <w:t xml:space="preserve">. Chicago: University of Chicago Press. </w:t>
      </w:r>
      <w:r>
        <w:rPr>
          <w:rStyle w:val="None"/>
          <w:color w:val="0000FF"/>
          <w:sz w:val="28"/>
          <w:szCs w:val="28"/>
          <w:u w:val="none" w:color="0000FF"/>
          <w:lang w:val="en-US"/>
        </w:rPr>
        <w:t>http://press.uchicago.edu/ucp/books/book/chicago/G/bo3629888.html</w:t>
      </w:r>
    </w:p>
    <w:p>
      <w:pPr>
        <w:pStyle w:val="NormalWe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0" w:after="0"/>
        <w:rPr/>
      </w:pPr>
      <w:r>
        <w:rPr>
          <w:sz w:val="28"/>
          <w:szCs w:val="28"/>
          <w:lang w:val="en-US"/>
        </w:rPr>
        <w:t>Koyama, Emi. “Cissexual/Cisgender: decentralizing the dominant group,” "Eminism.Org - Interchange,” accessed 11/7/, 2017</w:t>
      </w:r>
      <w:r>
        <w:rPr>
          <w:rStyle w:val="None"/>
          <w:color w:val="0000FF"/>
          <w:sz w:val="28"/>
          <w:szCs w:val="28"/>
          <w:u w:val="none" w:color="0000FF"/>
          <w:lang w:val="en-US"/>
        </w:rPr>
        <w:t>, </w:t>
      </w:r>
      <w:hyperlink r:id="rId9">
        <w:r>
          <w:rPr>
            <w:rStyle w:val="Hyperlink0"/>
            <w:sz w:val="28"/>
            <w:szCs w:val="28"/>
            <w:lang w:val="en-US"/>
          </w:rPr>
          <w:t>http://eminism.org/interchange/2002/20020607-wmstl.html</w:t>
        </w:r>
      </w:hyperlink>
      <w:r>
        <w:rPr>
          <w:rStyle w:val="None"/>
          <w:color w:val="0000FF"/>
          <w:sz w:val="28"/>
          <w:szCs w:val="28"/>
          <w:u w:val="none" w:color="0000FF"/>
          <w:lang w:val="en-US"/>
        </w:rPr>
        <w:t>.</w:t>
      </w:r>
    </w:p>
    <w:p>
      <w:pPr>
        <w:pStyle w:val="WordDefaultStyleA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ordDefaultStyleA"/>
        <w:rPr/>
      </w:pPr>
      <w:r>
        <w:rPr>
          <w:sz w:val="28"/>
          <w:szCs w:val="28"/>
          <w:lang w:val="en-US"/>
        </w:rPr>
        <w:t xml:space="preserve">Preciado, B. (2013). </w:t>
      </w:r>
      <w:r>
        <w:rPr>
          <w:rStyle w:val="None"/>
          <w:i/>
          <w:iCs/>
          <w:sz w:val="28"/>
          <w:szCs w:val="28"/>
          <w:lang w:val="en-US"/>
        </w:rPr>
        <w:t>Testo junkie: Sex, drugs, and biopolitics in the pharmacopornographic era</w:t>
      </w:r>
      <w:r>
        <w:rPr>
          <w:sz w:val="28"/>
          <w:szCs w:val="28"/>
          <w:lang w:val="en-US"/>
        </w:rPr>
        <w:t xml:space="preserve"> [</w:t>
      </w:r>
      <w:r>
        <w:rPr>
          <w:rStyle w:val="None"/>
          <w:i/>
          <w:iCs/>
          <w:sz w:val="28"/>
          <w:szCs w:val="28"/>
          <w:lang w:val="en-US"/>
        </w:rPr>
        <w:t>Testo yonqui</w:t>
      </w:r>
      <w:r>
        <w:rPr>
          <w:sz w:val="28"/>
          <w:szCs w:val="28"/>
          <w:lang w:val="en-US"/>
        </w:rPr>
        <w:t xml:space="preserve"> English]. New York, NY: The Feminist Press at the City University of New York. </w:t>
      </w:r>
      <w:hyperlink r:id="rId10">
        <w:r>
          <w:rPr>
            <w:rStyle w:val="Hyperlink0"/>
            <w:sz w:val="28"/>
            <w:szCs w:val="28"/>
            <w:lang w:val="en-US"/>
          </w:rPr>
          <w:t>https://hamtramckfreeschool.files.wordpress.com/2014/11/beatriz-preciado-testo-junkie-sex-drugs-and-biopolitics-in-the-pharmacopornographic-era-dragged.pdf</w:t>
        </w:r>
      </w:hyperlink>
    </w:p>
    <w:p>
      <w:pPr>
        <w:pStyle w:val="WordDefaultStyleA"/>
        <w:rPr>
          <w:sz w:val="18"/>
          <w:szCs w:val="18"/>
        </w:rPr>
      </w:pPr>
      <w:r>
        <w:rPr>
          <w:rStyle w:val="None"/>
          <w:color w:val="0000FF"/>
          <w:sz w:val="28"/>
          <w:szCs w:val="28"/>
          <w:u w:val="none" w:color="0000FF"/>
          <w:lang w:val="en-US"/>
        </w:rPr>
        <w:t>https://books.google.ca/books/about/Testo_Junkie.html?id=SluoAgAAQBAJ&amp;redir_esc=y</w:t>
      </w:r>
    </w:p>
    <w:p>
      <w:pPr>
        <w:pStyle w:val="WordDefaultStyleA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A"/>
        <w:widowControl w:val="false"/>
        <w:shd w:fill="FFFFFF" w:val="clear"/>
        <w:rPr/>
      </w:pPr>
      <w:r>
        <w:rPr>
          <w:sz w:val="28"/>
          <w:szCs w:val="28"/>
          <w:lang w:val="en-US"/>
        </w:rPr>
        <w:t xml:space="preserve">Spade, D. (2011). </w:t>
      </w:r>
      <w:r>
        <w:rPr>
          <w:rStyle w:val="None"/>
          <w:i/>
          <w:iCs/>
          <w:sz w:val="28"/>
          <w:szCs w:val="28"/>
          <w:lang w:val="en-US"/>
        </w:rPr>
        <w:t>Normal life: Administrative violence, critical trans politics, and the limits of law</w:t>
      </w:r>
      <w:r>
        <w:rPr>
          <w:sz w:val="28"/>
          <w:szCs w:val="28"/>
          <w:lang w:val="en-US"/>
        </w:rPr>
        <w:t xml:space="preserve">. Brooklyn, NY: South End Press. </w:t>
      </w:r>
      <w:hyperlink r:id="rId11">
        <w:r>
          <w:rPr>
            <w:rStyle w:val="Hyperlink2"/>
            <w:sz w:val="28"/>
            <w:szCs w:val="28"/>
            <w:lang w:val="en-US"/>
          </w:rPr>
          <w:t>http://challengingmalesupremacy.org/wp-content/uploads/2015/04/Normal-Life-Chapter-1.pdf</w:t>
        </w:r>
      </w:hyperlink>
    </w:p>
    <w:p>
      <w:pPr>
        <w:pStyle w:val="BodyA"/>
        <w:widowControl w:val="false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0" w:after="0"/>
        <w:rPr>
          <w:sz w:val="18"/>
          <w:szCs w:val="18"/>
        </w:rPr>
      </w:pPr>
      <w:r>
        <w:rPr>
          <w:sz w:val="28"/>
          <w:szCs w:val="28"/>
          <w:lang w:val="en-US"/>
        </w:rPr>
        <w:t>Spade, Dean. (2011).</w:t>
      </w:r>
      <w:r>
        <w:rPr>
          <w:rStyle w:val="None"/>
          <w:i/>
          <w:iCs/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“About purportedly gendered body parts.”</w:t>
      </w:r>
    </w:p>
    <w:p>
      <w:pPr>
        <w:pStyle w:val="NormalWeb"/>
        <w:shd w:val="clear" w:color="auto" w:fill="FFFFFF"/>
        <w:spacing w:before="0" w:after="0"/>
        <w:rPr/>
      </w:pPr>
      <w:hyperlink r:id="rId12">
        <w:r>
          <w:rPr>
            <w:rStyle w:val="Hyperlink0"/>
            <w:sz w:val="28"/>
            <w:szCs w:val="28"/>
            <w:lang w:val="en-US"/>
          </w:rPr>
          <w:t>http://www.deanspade.net/2011/02/03/about-purportedly-gendered-body-parts/</w:t>
        </w:r>
      </w:hyperlink>
      <w:r>
        <w:rPr>
          <w:rStyle w:val="None"/>
          <w:color w:val="0000FF"/>
          <w:sz w:val="28"/>
          <w:szCs w:val="28"/>
          <w:u w:val="none" w:color="0000FF"/>
          <w:lang w:val="en-US"/>
        </w:rPr>
        <w:t>.</w:t>
      </w:r>
    </w:p>
    <w:p>
      <w:pPr>
        <w:pStyle w:val="NormalWe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ordDefaultStyleA"/>
        <w:rPr/>
      </w:pPr>
      <w:r>
        <w:rPr>
          <w:sz w:val="28"/>
          <w:szCs w:val="28"/>
          <w:lang w:val="en-US"/>
        </w:rPr>
        <w:t xml:space="preserve">Steinmetz, Katy and Gray, E. (2014). "The Transgender Tipping Point: America’s Transition." (cover story) </w:t>
      </w:r>
      <w:r>
        <w:rPr>
          <w:rStyle w:val="None"/>
          <w:i/>
          <w:iCs/>
          <w:sz w:val="28"/>
          <w:szCs w:val="28"/>
          <w:lang w:val="en-US"/>
        </w:rPr>
        <w:t>Time</w:t>
      </w:r>
      <w:r>
        <w:rPr>
          <w:sz w:val="28"/>
          <w:szCs w:val="28"/>
          <w:lang w:val="en-US"/>
        </w:rPr>
        <w:t xml:space="preserve">, </w:t>
      </w:r>
      <w:r>
        <w:rPr>
          <w:rStyle w:val="None"/>
          <w:i/>
          <w:iCs/>
          <w:sz w:val="28"/>
          <w:szCs w:val="28"/>
          <w:lang w:val="en-US"/>
        </w:rPr>
        <w:t xml:space="preserve">183 </w:t>
      </w:r>
      <w:r>
        <w:rPr>
          <w:sz w:val="28"/>
          <w:szCs w:val="28"/>
          <w:lang w:val="en-US"/>
        </w:rPr>
        <w:t>(22), 38-46. accessed Nov 7, 2017, </w:t>
      </w:r>
      <w:hyperlink r:id="rId13">
        <w:r>
          <w:rPr>
            <w:rStyle w:val="Hyperlink0"/>
            <w:sz w:val="28"/>
            <w:szCs w:val="28"/>
            <w:lang w:val="en-US"/>
          </w:rPr>
          <w:t>http://time.com/135480/transgender-tipping-point/</w:t>
        </w:r>
      </w:hyperlink>
      <w:r>
        <w:rPr>
          <w:rStyle w:val="None"/>
          <w:color w:val="0000FF"/>
          <w:sz w:val="28"/>
          <w:szCs w:val="28"/>
          <w:u w:val="none" w:color="0000FF"/>
          <w:lang w:val="en-US"/>
        </w:rPr>
        <w:t>.</w:t>
      </w:r>
    </w:p>
    <w:p>
      <w:pPr>
        <w:pStyle w:val="NormalWeb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0" w:after="0"/>
        <w:rPr/>
      </w:pPr>
      <w:r>
        <w:rPr>
          <w:sz w:val="28"/>
          <w:szCs w:val="28"/>
          <w:lang w:val="en-US"/>
        </w:rPr>
        <w:t>Stone, Sandy. "Sandystone.Com: Jacob Hale's Rules for Non-Trans Writing about Trans", accessed 11/7/, 2017, </w:t>
      </w:r>
      <w:hyperlink r:id="rId14">
        <w:r>
          <w:rPr>
            <w:rStyle w:val="Hyperlink0"/>
            <w:sz w:val="28"/>
            <w:szCs w:val="28"/>
            <w:lang w:val="en-US"/>
          </w:rPr>
          <w:t>https://sandystone.com/hale.rules.html</w:t>
        </w:r>
      </w:hyperlink>
      <w:r>
        <w:rPr>
          <w:rStyle w:val="None"/>
          <w:color w:val="0000FF"/>
          <w:sz w:val="28"/>
          <w:szCs w:val="28"/>
          <w:u w:val="none" w:color="0000FF"/>
          <w:lang w:val="en-US"/>
        </w:rPr>
        <w:t>.</w:t>
      </w:r>
    </w:p>
    <w:p>
      <w:pPr>
        <w:pStyle w:val="WordDefaultStyleA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ordDefaultStyleA"/>
        <w:rPr>
          <w:sz w:val="18"/>
          <w:szCs w:val="18"/>
        </w:rPr>
      </w:pPr>
      <w:r>
        <w:rPr>
          <w:sz w:val="28"/>
          <w:szCs w:val="28"/>
          <w:lang w:val="en-US"/>
        </w:rPr>
        <w:t xml:space="preserve">Stryker, S., &amp; Aizura, A. Z. (2013). </w:t>
      </w:r>
      <w:r>
        <w:rPr>
          <w:rStyle w:val="None"/>
          <w:i/>
          <w:iCs/>
          <w:sz w:val="28"/>
          <w:szCs w:val="28"/>
          <w:lang w:val="en-US"/>
        </w:rPr>
        <w:t>The transgender studies reader 2</w:t>
      </w:r>
      <w:r>
        <w:rPr>
          <w:rStyle w:val="None"/>
          <w:color w:val="0000FF"/>
          <w:sz w:val="28"/>
          <w:szCs w:val="28"/>
          <w:u w:val="none" w:color="0000FF"/>
          <w:lang w:val="en-US"/>
        </w:rPr>
        <w:t xml:space="preserve">. https://www.routledge.com/The-Transgender-Studies-Reader-2/Stryker-Aizura/p/book/9780415517737 </w:t>
      </w:r>
    </w:p>
    <w:p>
      <w:pPr>
        <w:pStyle w:val="WordDefaultStyleA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ordDefaultStyleA"/>
        <w:rPr/>
      </w:pPr>
      <w:r>
        <w:rPr>
          <w:sz w:val="28"/>
          <w:szCs w:val="28"/>
          <w:lang w:val="en-US"/>
        </w:rPr>
        <w:t xml:space="preserve">Stryker, S., &amp; Whittle, S. (2006). </w:t>
      </w:r>
      <w:r>
        <w:rPr>
          <w:rStyle w:val="None"/>
          <w:i/>
          <w:iCs/>
          <w:sz w:val="28"/>
          <w:szCs w:val="28"/>
          <w:lang w:val="en-US"/>
        </w:rPr>
        <w:t>The transgender studies reader</w:t>
      </w:r>
      <w:r>
        <w:rPr>
          <w:sz w:val="28"/>
          <w:szCs w:val="28"/>
          <w:lang w:val="en-US"/>
        </w:rPr>
        <w:t xml:space="preserve">. New York: Routledge. </w:t>
      </w:r>
      <w:r>
        <w:rPr>
          <w:rStyle w:val="None"/>
          <w:color w:val="0000FF"/>
          <w:sz w:val="28"/>
          <w:szCs w:val="28"/>
          <w:u w:val="none" w:color="0000FF"/>
          <w:lang w:val="en-US"/>
        </w:rPr>
        <w:t>https://forlackofsomegoodwriting.files.wordpress.com/2013/12/susan-stryker-and-stephen-whittle-eds-the-transgender-studies-reader.pdf</w:t>
      </w:r>
    </w:p>
    <w:sectPr>
      <w:headerReference w:type="default" r:id="rId15"/>
      <w:footerReference w:type="default" r:id="rId16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color w:val="0000FF"/>
      <w:u w:val="single" w:color="0000FF"/>
    </w:rPr>
  </w:style>
  <w:style w:type="character" w:styleId="Hyperlink1">
    <w:name w:val="Hyperlink.1"/>
    <w:basedOn w:val="InternetLink"/>
    <w:qFormat/>
    <w:rPr>
      <w:color w:val="0000FF"/>
      <w:u w:val="single" w:color="0000FF"/>
    </w:rPr>
  </w:style>
  <w:style w:type="character" w:styleId="Hyperlink2">
    <w:name w:val="Hyperlink.2"/>
    <w:basedOn w:val="None"/>
    <w:qFormat/>
    <w:rPr>
      <w:color w:val="386EFF"/>
      <w:u w:val="single" w:color="386EFF"/>
    </w:rPr>
  </w:style>
  <w:style w:type="paragraph" w:styleId="Heading">
    <w:name w:val="Heading"/>
    <w:basedOn w:val="Normal"/>
    <w:next w:val="TextBody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">
    <w:name w:val="List"/>
    <w:basedOn w:val="TextBody"/>
    <w:pPr>
      <w:shd w:fill="FFFFFF" w:val="clear"/>
    </w:pPr>
    <w:rPr>
      <w:rFonts w:cs="FreeSans"/>
    </w:rPr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>
      <w:rFonts w:cs="FreeSans"/>
    </w:rPr>
  </w:style>
  <w:style w:type="paragraph" w:styleId="HeaderFooter">
    <w:name w:val="Header &amp; Footer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en-GB" w:eastAsia="zh-CN" w:bidi="hi-IN"/>
    </w:rPr>
  </w:style>
  <w:style w:type="paragraph" w:styleId="NormalWeb">
    <w:name w:val="Normal (Web)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10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Default">
    <w:name w:val="Default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n-GB" w:eastAsia="zh-CN" w:bidi="hi-IN"/>
    </w:rPr>
  </w:style>
  <w:style w:type="paragraph" w:styleId="WordDefaultStyle">
    <w:name w:val="Word Default Style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A"/>
      <w:vertAlign w:val="baseline"/>
      <w:lang w:val="en-US" w:eastAsia="zh-CN" w:bidi="hi-IN"/>
    </w:rPr>
  </w:style>
  <w:style w:type="paragraph" w:styleId="BodyA">
    <w:name w:val="Body A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WordDefaultStyleA">
    <w:name w:val="Word Default Style A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0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rugs.com/mmx/climacteron.html" TargetMode="External"/><Relationship Id="rId3" Type="http://schemas.openxmlformats.org/officeDocument/2006/relationships/hyperlink" Target="http://www.pdf-flip.com/examples/pubs/Magazines/Mag_16.pdf" TargetMode="External"/><Relationship Id="rId4" Type="http://schemas.openxmlformats.org/officeDocument/2006/relationships/hyperlink" Target="http://healthycanadians.gc.ca/recall-alert-rappel-avis/hc-sc/2005/14314a-eng.php" TargetMode="External"/><Relationship Id="rId5" Type="http://schemas.openxmlformats.org/officeDocument/2006/relationships/hyperlink" Target="http://www.tsroadmap.com/start/tgterms.html" TargetMode="External"/><Relationship Id="rId6" Type="http://schemas.openxmlformats.org/officeDocument/2006/relationships/hyperlink" Target="http://www.yorku.ca/spot/caitlin/bornstein.pdf" TargetMode="External"/><Relationship Id="rId7" Type="http://schemas.openxmlformats.org/officeDocument/2006/relationships/hyperlink" Target="https://books.google.com/books/about/Body_alchemy.html?id=7aXgzfkjgaQC" TargetMode="External"/><Relationship Id="rId8" Type="http://schemas.openxmlformats.org/officeDocument/2006/relationships/hyperlink" Target="https://books.google.com/books/about/Transgender_Migrations.html?id=hGKp2QMwrvMC" TargetMode="External"/><Relationship Id="rId9" Type="http://schemas.openxmlformats.org/officeDocument/2006/relationships/hyperlink" Target="http://eminism.org/interchange/2002/20020607-wmstl.html" TargetMode="External"/><Relationship Id="rId10" Type="http://schemas.openxmlformats.org/officeDocument/2006/relationships/hyperlink" Target="https://hamtramckfreeschool.files.wordpress.com/2014/11/beatriz-preciado-testo-junkie-sex-drugs-and-biopolitics-in-the-pharmacopornographic-era-dragged.pdf" TargetMode="External"/><Relationship Id="rId11" Type="http://schemas.openxmlformats.org/officeDocument/2006/relationships/hyperlink" Target="http://challengingmalesupremacy.org/wp-content/uploads/2015/04/Normal-Life-Chapter-1.pdf" TargetMode="External"/><Relationship Id="rId12" Type="http://schemas.openxmlformats.org/officeDocument/2006/relationships/hyperlink" Target="http://www.deanspade.net/2011/02/03/about-purportedly-gendered-body-parts/" TargetMode="External"/><Relationship Id="rId13" Type="http://schemas.openxmlformats.org/officeDocument/2006/relationships/hyperlink" Target="http://time.com/135480/transgender-tipping-point/" TargetMode="External"/><Relationship Id="rId14" Type="http://schemas.openxmlformats.org/officeDocument/2006/relationships/hyperlink" Target="https://sandystone.com/hale.rules.htm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LibreOffice/5.1.6.2$Linux_X86_64 LibreOffice_project/10m0$Build-2</Application>
  <Pages>3</Pages>
  <Words>336</Words>
  <Characters>3271</Characters>
  <CharactersWithSpaces>3587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2017-11-22T15:26:05Z</dcterms:modified>
  <cp:revision>1</cp:revision>
  <dc:subject/>
  <dc:title/>
</cp:coreProperties>
</file>